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FC8AF" w14:textId="77777777" w:rsidR="00A26860" w:rsidRPr="00B020A6" w:rsidRDefault="00A26860" w:rsidP="00A2686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152EF0A" w14:textId="77777777" w:rsidR="00A26860" w:rsidRPr="00B020A6" w:rsidRDefault="00A26860" w:rsidP="00A2686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5A92A13" w14:textId="77777777" w:rsidR="00A26860" w:rsidRPr="00B020A6" w:rsidRDefault="00A26860" w:rsidP="00A2686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5BFF3C5" w14:textId="555D6E1C" w:rsidR="00A26860" w:rsidRDefault="00611FE2" w:rsidP="00A26860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611FE2">
        <w:rPr>
          <w:rFonts w:ascii="Arial" w:eastAsia="Times New Roman" w:hAnsi="Arial" w:cs="Arial"/>
          <w:b/>
        </w:rPr>
        <w:t>Photoswitchable</w:t>
      </w:r>
      <w:proofErr w:type="spellEnd"/>
      <w:r w:rsidRPr="00611FE2">
        <w:rPr>
          <w:rFonts w:ascii="Arial" w:eastAsia="Times New Roman" w:hAnsi="Arial" w:cs="Arial"/>
          <w:b/>
        </w:rPr>
        <w:t xml:space="preserve"> </w:t>
      </w:r>
      <w:proofErr w:type="gramStart"/>
      <w:r>
        <w:rPr>
          <w:rFonts w:ascii="Arial" w:eastAsia="Times New Roman" w:hAnsi="Arial" w:cs="Arial"/>
          <w:b/>
        </w:rPr>
        <w:t>i</w:t>
      </w:r>
      <w:r w:rsidRPr="00611FE2">
        <w:rPr>
          <w:rFonts w:ascii="Arial" w:eastAsia="Times New Roman" w:hAnsi="Arial" w:cs="Arial"/>
          <w:b/>
        </w:rPr>
        <w:t>ron(</w:t>
      </w:r>
      <w:proofErr w:type="gramEnd"/>
      <w:r w:rsidRPr="00611FE2">
        <w:rPr>
          <w:rFonts w:ascii="Arial" w:eastAsia="Times New Roman" w:hAnsi="Arial" w:cs="Arial"/>
          <w:b/>
        </w:rPr>
        <w:t xml:space="preserve">III) </w:t>
      </w:r>
      <w:r>
        <w:rPr>
          <w:rFonts w:ascii="Arial" w:eastAsia="Times New Roman" w:hAnsi="Arial" w:cs="Arial"/>
          <w:b/>
        </w:rPr>
        <w:t>s</w:t>
      </w:r>
      <w:r w:rsidRPr="00611FE2">
        <w:rPr>
          <w:rFonts w:ascii="Arial" w:eastAsia="Times New Roman" w:hAnsi="Arial" w:cs="Arial"/>
          <w:b/>
        </w:rPr>
        <w:t xml:space="preserve">pin </w:t>
      </w:r>
      <w:r>
        <w:rPr>
          <w:rFonts w:ascii="Arial" w:eastAsia="Times New Roman" w:hAnsi="Arial" w:cs="Arial"/>
          <w:b/>
        </w:rPr>
        <w:t>c</w:t>
      </w:r>
      <w:r w:rsidRPr="00611FE2">
        <w:rPr>
          <w:rFonts w:ascii="Arial" w:eastAsia="Times New Roman" w:hAnsi="Arial" w:cs="Arial"/>
          <w:b/>
        </w:rPr>
        <w:t xml:space="preserve">rossover </w:t>
      </w:r>
      <w:r>
        <w:rPr>
          <w:rFonts w:ascii="Arial" w:eastAsia="Times New Roman" w:hAnsi="Arial" w:cs="Arial"/>
          <w:b/>
        </w:rPr>
        <w:t>m</w:t>
      </w:r>
      <w:r w:rsidRPr="00611FE2">
        <w:rPr>
          <w:rFonts w:ascii="Arial" w:eastAsia="Times New Roman" w:hAnsi="Arial" w:cs="Arial"/>
          <w:b/>
        </w:rPr>
        <w:t>aterials</w:t>
      </w:r>
    </w:p>
    <w:p w14:paraId="4BF0178C" w14:textId="77777777" w:rsidR="009E7660" w:rsidRPr="009E7660" w:rsidRDefault="009E7660" w:rsidP="00A26860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0"/>
          <w:szCs w:val="24"/>
        </w:rPr>
      </w:pPr>
    </w:p>
    <w:p w14:paraId="5E2A79F7" w14:textId="1E95EBAA" w:rsidR="00DC6420" w:rsidRPr="000E1C12" w:rsidRDefault="00DC6420" w:rsidP="00A26860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2"/>
          <w:u w:val="single"/>
        </w:rPr>
      </w:pPr>
      <w:r w:rsidRPr="000E1C12">
        <w:rPr>
          <w:rFonts w:ascii="Arial" w:hAnsi="Arial" w:cs="Arial"/>
          <w:lang w:val="en-GB"/>
        </w:rPr>
        <w:t>Raúl Díaz-</w:t>
      </w:r>
      <w:proofErr w:type="spellStart"/>
      <w:proofErr w:type="gramStart"/>
      <w:r w:rsidRPr="000E1C12">
        <w:rPr>
          <w:rFonts w:ascii="Arial" w:hAnsi="Arial" w:cs="Arial"/>
          <w:lang w:val="en-GB"/>
        </w:rPr>
        <w:t>Torres,</w:t>
      </w:r>
      <w:r w:rsidRPr="000E1C12">
        <w:rPr>
          <w:rFonts w:ascii="Arial" w:hAnsi="Arial" w:cs="Arial"/>
          <w:vertAlign w:val="superscript"/>
          <w:lang w:val="en-GB"/>
        </w:rPr>
        <w:t>a</w:t>
      </w:r>
      <w:proofErr w:type="spellEnd"/>
      <w:proofErr w:type="gramEnd"/>
      <w:r w:rsidRPr="000E1C12">
        <w:rPr>
          <w:rFonts w:ascii="Arial" w:hAnsi="Arial" w:cs="Arial"/>
          <w:lang w:val="en-GB"/>
        </w:rPr>
        <w:t xml:space="preserve"> Eliseo </w:t>
      </w:r>
      <w:proofErr w:type="spellStart"/>
      <w:r w:rsidRPr="000E1C12">
        <w:rPr>
          <w:rFonts w:ascii="Arial" w:hAnsi="Arial" w:cs="Arial"/>
          <w:lang w:val="en-GB"/>
        </w:rPr>
        <w:t>Ruiz,</w:t>
      </w:r>
      <w:r w:rsidRPr="000E1C12">
        <w:rPr>
          <w:rFonts w:ascii="Arial" w:hAnsi="Arial" w:cs="Arial"/>
          <w:vertAlign w:val="superscript"/>
          <w:lang w:val="en-GB"/>
        </w:rPr>
        <w:t>c</w:t>
      </w:r>
      <w:proofErr w:type="spellEnd"/>
      <w:r w:rsidRPr="000E1C12">
        <w:rPr>
          <w:rFonts w:ascii="Arial" w:hAnsi="Arial" w:cs="Arial"/>
          <w:lang w:val="en-GB"/>
        </w:rPr>
        <w:t xml:space="preserve"> Guillaume </w:t>
      </w:r>
      <w:proofErr w:type="spellStart"/>
      <w:r w:rsidRPr="000E1C12">
        <w:rPr>
          <w:rFonts w:ascii="Arial" w:hAnsi="Arial" w:cs="Arial"/>
          <w:lang w:val="en-GB"/>
        </w:rPr>
        <w:t>Chastanet,</w:t>
      </w:r>
      <w:r w:rsidRPr="000E1C12">
        <w:rPr>
          <w:rFonts w:ascii="Arial" w:hAnsi="Arial" w:cs="Arial"/>
          <w:vertAlign w:val="superscript"/>
          <w:lang w:val="en-GB"/>
        </w:rPr>
        <w:t>d</w:t>
      </w:r>
      <w:proofErr w:type="spellEnd"/>
      <w:r w:rsidRPr="000E1C12">
        <w:rPr>
          <w:rFonts w:ascii="Arial" w:hAnsi="Arial" w:cs="Arial"/>
          <w:lang w:val="en-GB"/>
        </w:rPr>
        <w:t xml:space="preserve"> Eric </w:t>
      </w:r>
      <w:proofErr w:type="spellStart"/>
      <w:r w:rsidRPr="000E1C12">
        <w:rPr>
          <w:rFonts w:ascii="Arial" w:hAnsi="Arial" w:cs="Arial"/>
          <w:lang w:val="en-GB"/>
        </w:rPr>
        <w:t>Collet,</w:t>
      </w:r>
      <w:r w:rsidRPr="000E1C12">
        <w:rPr>
          <w:rFonts w:ascii="Arial" w:hAnsi="Arial" w:cs="Arial"/>
          <w:vertAlign w:val="superscript"/>
          <w:lang w:val="en-GB"/>
        </w:rPr>
        <w:t>e</w:t>
      </w:r>
      <w:proofErr w:type="spellEnd"/>
      <w:r w:rsidRPr="000E1C12">
        <w:rPr>
          <w:rFonts w:ascii="Arial" w:hAnsi="Arial" w:cs="Arial"/>
          <w:lang w:val="en-GB"/>
        </w:rPr>
        <w:t xml:space="preserve"> Elzbieta </w:t>
      </w:r>
      <w:proofErr w:type="spellStart"/>
      <w:r w:rsidRPr="000E1C12">
        <w:rPr>
          <w:rFonts w:ascii="Arial" w:hAnsi="Arial" w:cs="Arial"/>
          <w:lang w:val="en-GB"/>
        </w:rPr>
        <w:t>Trzop,</w:t>
      </w:r>
      <w:r w:rsidRPr="000E1C12">
        <w:rPr>
          <w:rFonts w:ascii="Arial" w:hAnsi="Arial" w:cs="Arial"/>
          <w:vertAlign w:val="superscript"/>
          <w:lang w:val="en-GB"/>
        </w:rPr>
        <w:t>e</w:t>
      </w:r>
      <w:proofErr w:type="spellEnd"/>
      <w:r w:rsidRPr="000E1C12">
        <w:rPr>
          <w:rFonts w:ascii="Arial" w:hAnsi="Arial" w:cs="Arial"/>
          <w:lang w:val="en-GB"/>
        </w:rPr>
        <w:t xml:space="preserve"> Phimphaka </w:t>
      </w:r>
      <w:proofErr w:type="spellStart"/>
      <w:r w:rsidRPr="000E1C12">
        <w:rPr>
          <w:rFonts w:ascii="Arial" w:hAnsi="Arial" w:cs="Arial"/>
          <w:lang w:val="en-GB"/>
        </w:rPr>
        <w:t>Harding</w:t>
      </w:r>
      <w:r w:rsidRPr="000E1C12">
        <w:rPr>
          <w:rFonts w:ascii="Arial" w:hAnsi="Arial" w:cs="Arial"/>
          <w:vertAlign w:val="superscript"/>
          <w:lang w:val="en-GB"/>
        </w:rPr>
        <w:t>a</w:t>
      </w:r>
      <w:proofErr w:type="spellEnd"/>
      <w:r w:rsidRPr="000E1C12">
        <w:rPr>
          <w:rFonts w:ascii="Arial" w:hAnsi="Arial" w:cs="Arial"/>
          <w:lang w:val="en-GB"/>
        </w:rPr>
        <w:t xml:space="preserve"> and </w:t>
      </w:r>
      <w:r w:rsidRPr="000E1C12">
        <w:rPr>
          <w:rFonts w:ascii="Arial" w:hAnsi="Arial" w:cs="Arial"/>
          <w:u w:val="single"/>
          <w:lang w:val="en-GB"/>
        </w:rPr>
        <w:t>David J. Harding</w:t>
      </w:r>
      <w:r w:rsidRPr="000E1C12">
        <w:rPr>
          <w:rFonts w:ascii="Arial" w:hAnsi="Arial" w:cs="Arial"/>
          <w:vertAlign w:val="superscript"/>
        </w:rPr>
        <w:t>a</w:t>
      </w:r>
      <w:r w:rsidRPr="000E1C12">
        <w:rPr>
          <w:rFonts w:ascii="Arial" w:hAnsi="Arial" w:cs="Arial"/>
        </w:rPr>
        <w:t>*</w:t>
      </w:r>
    </w:p>
    <w:p w14:paraId="04D9DE0A" w14:textId="77777777" w:rsidR="009E7660" w:rsidRPr="000E1C12" w:rsidRDefault="009E7660" w:rsidP="00A2686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14:paraId="5ED4E57F" w14:textId="77777777" w:rsidR="000E1C12" w:rsidRPr="000E1C12" w:rsidRDefault="000E1C12" w:rsidP="000E1C12">
      <w:pPr>
        <w:pStyle w:val="Authors"/>
        <w:spacing w:after="0" w:line="240" w:lineRule="auto"/>
        <w:rPr>
          <w:i/>
          <w:iCs/>
          <w:sz w:val="20"/>
          <w:szCs w:val="20"/>
          <w:lang w:val="en-GB"/>
        </w:rPr>
      </w:pPr>
      <w:r w:rsidRPr="000E1C12">
        <w:rPr>
          <w:i/>
          <w:iCs/>
          <w:sz w:val="20"/>
          <w:szCs w:val="20"/>
          <w:vertAlign w:val="superscript"/>
        </w:rPr>
        <w:t>a</w:t>
      </w:r>
      <w:r w:rsidRPr="000E1C12">
        <w:rPr>
          <w:i/>
          <w:iCs/>
          <w:sz w:val="20"/>
          <w:szCs w:val="20"/>
        </w:rPr>
        <w:t xml:space="preserve"> </w:t>
      </w:r>
      <w:r w:rsidRPr="000E1C12">
        <w:rPr>
          <w:i/>
          <w:iCs/>
          <w:sz w:val="20"/>
          <w:szCs w:val="20"/>
          <w:lang w:val="en-GB"/>
        </w:rPr>
        <w:t xml:space="preserve">School of Chemistry, </w:t>
      </w:r>
      <w:proofErr w:type="spellStart"/>
      <w:r w:rsidRPr="000E1C12">
        <w:rPr>
          <w:i/>
          <w:iCs/>
          <w:sz w:val="20"/>
          <w:szCs w:val="20"/>
          <w:lang w:val="en-GB"/>
        </w:rPr>
        <w:t>Suranaree</w:t>
      </w:r>
      <w:proofErr w:type="spellEnd"/>
      <w:r w:rsidRPr="000E1C12">
        <w:rPr>
          <w:i/>
          <w:iCs/>
          <w:sz w:val="20"/>
          <w:szCs w:val="20"/>
          <w:lang w:val="en-GB"/>
        </w:rPr>
        <w:t xml:space="preserve"> University of Technology, Nakhon Ratchasima, 30000, Thailand</w:t>
      </w:r>
    </w:p>
    <w:p w14:paraId="28752B54" w14:textId="77777777" w:rsidR="000E1C12" w:rsidRPr="000E1C12" w:rsidRDefault="000E1C12" w:rsidP="000E1C12">
      <w:pPr>
        <w:pStyle w:val="Authors"/>
        <w:spacing w:after="0" w:line="240" w:lineRule="auto"/>
        <w:rPr>
          <w:i/>
          <w:iCs/>
          <w:sz w:val="20"/>
          <w:szCs w:val="20"/>
          <w:lang w:val="en-GB"/>
        </w:rPr>
      </w:pPr>
      <w:r w:rsidRPr="000E1C12">
        <w:rPr>
          <w:i/>
          <w:iCs/>
          <w:sz w:val="20"/>
          <w:szCs w:val="20"/>
          <w:vertAlign w:val="superscript"/>
          <w:lang w:val="en-GB"/>
        </w:rPr>
        <w:t>b</w:t>
      </w:r>
      <w:r w:rsidRPr="000E1C12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0E1C12">
        <w:rPr>
          <w:i/>
          <w:iCs/>
          <w:sz w:val="20"/>
          <w:szCs w:val="20"/>
          <w:lang w:val="en-GB"/>
        </w:rPr>
        <w:t>Departament</w:t>
      </w:r>
      <w:proofErr w:type="spellEnd"/>
      <w:r w:rsidRPr="000E1C12">
        <w:rPr>
          <w:i/>
          <w:iCs/>
          <w:sz w:val="20"/>
          <w:szCs w:val="20"/>
          <w:lang w:val="en-GB"/>
        </w:rPr>
        <w:t xml:space="preserve"> de </w:t>
      </w:r>
      <w:proofErr w:type="spellStart"/>
      <w:r w:rsidRPr="000E1C12">
        <w:rPr>
          <w:i/>
          <w:iCs/>
          <w:sz w:val="20"/>
          <w:szCs w:val="20"/>
          <w:lang w:val="en-GB"/>
        </w:rPr>
        <w:t>Química</w:t>
      </w:r>
      <w:proofErr w:type="spellEnd"/>
      <w:r w:rsidRPr="000E1C12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0E1C12">
        <w:rPr>
          <w:i/>
          <w:iCs/>
          <w:sz w:val="20"/>
          <w:szCs w:val="20"/>
          <w:lang w:val="en-GB"/>
        </w:rPr>
        <w:t>Inorgànica</w:t>
      </w:r>
      <w:proofErr w:type="spellEnd"/>
      <w:r w:rsidRPr="000E1C12">
        <w:rPr>
          <w:i/>
          <w:iCs/>
          <w:sz w:val="20"/>
          <w:szCs w:val="20"/>
          <w:lang w:val="en-GB"/>
        </w:rPr>
        <w:t xml:space="preserve">, </w:t>
      </w:r>
      <w:proofErr w:type="spellStart"/>
      <w:r w:rsidRPr="000E1C12">
        <w:rPr>
          <w:i/>
          <w:iCs/>
          <w:sz w:val="20"/>
          <w:szCs w:val="20"/>
          <w:lang w:val="en-GB"/>
        </w:rPr>
        <w:t>Institut</w:t>
      </w:r>
      <w:proofErr w:type="spellEnd"/>
      <w:r w:rsidRPr="000E1C12">
        <w:rPr>
          <w:i/>
          <w:iCs/>
          <w:sz w:val="20"/>
          <w:szCs w:val="20"/>
          <w:lang w:val="en-GB"/>
        </w:rPr>
        <w:t xml:space="preserve"> de </w:t>
      </w:r>
      <w:proofErr w:type="spellStart"/>
      <w:r w:rsidRPr="000E1C12">
        <w:rPr>
          <w:i/>
          <w:iCs/>
          <w:sz w:val="20"/>
          <w:szCs w:val="20"/>
          <w:lang w:val="en-GB"/>
        </w:rPr>
        <w:t>Recerca</w:t>
      </w:r>
      <w:proofErr w:type="spellEnd"/>
      <w:r w:rsidRPr="000E1C12">
        <w:rPr>
          <w:i/>
          <w:iCs/>
          <w:sz w:val="20"/>
          <w:szCs w:val="20"/>
          <w:lang w:val="en-GB"/>
        </w:rPr>
        <w:t xml:space="preserve"> de </w:t>
      </w:r>
      <w:proofErr w:type="spellStart"/>
      <w:r w:rsidRPr="000E1C12">
        <w:rPr>
          <w:i/>
          <w:iCs/>
          <w:sz w:val="20"/>
          <w:szCs w:val="20"/>
          <w:lang w:val="en-GB"/>
        </w:rPr>
        <w:t>Química</w:t>
      </w:r>
      <w:proofErr w:type="spellEnd"/>
      <w:r w:rsidRPr="000E1C12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0E1C12">
        <w:rPr>
          <w:i/>
          <w:iCs/>
          <w:sz w:val="20"/>
          <w:szCs w:val="20"/>
          <w:lang w:val="en-GB"/>
        </w:rPr>
        <w:t>Teòrica</w:t>
      </w:r>
      <w:proofErr w:type="spellEnd"/>
      <w:r w:rsidRPr="000E1C12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0E1C12">
        <w:rPr>
          <w:i/>
          <w:iCs/>
          <w:sz w:val="20"/>
          <w:szCs w:val="20"/>
          <w:lang w:val="en-GB"/>
        </w:rPr>
        <w:t>i</w:t>
      </w:r>
      <w:proofErr w:type="spellEnd"/>
      <w:r w:rsidRPr="000E1C12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0E1C12">
        <w:rPr>
          <w:i/>
          <w:iCs/>
          <w:sz w:val="20"/>
          <w:szCs w:val="20"/>
          <w:lang w:val="en-GB"/>
        </w:rPr>
        <w:t>Computacional</w:t>
      </w:r>
      <w:proofErr w:type="spellEnd"/>
      <w:r w:rsidRPr="000E1C12">
        <w:rPr>
          <w:i/>
          <w:iCs/>
          <w:sz w:val="20"/>
          <w:szCs w:val="20"/>
          <w:lang w:val="en-GB"/>
        </w:rPr>
        <w:t xml:space="preserve">, </w:t>
      </w:r>
      <w:proofErr w:type="spellStart"/>
      <w:r w:rsidRPr="000E1C12">
        <w:rPr>
          <w:i/>
          <w:iCs/>
          <w:sz w:val="20"/>
          <w:szCs w:val="20"/>
          <w:lang w:val="en-GB"/>
        </w:rPr>
        <w:t>Universitat</w:t>
      </w:r>
      <w:proofErr w:type="spellEnd"/>
      <w:r w:rsidRPr="000E1C12">
        <w:rPr>
          <w:i/>
          <w:iCs/>
          <w:sz w:val="20"/>
          <w:szCs w:val="20"/>
          <w:lang w:val="en-GB"/>
        </w:rPr>
        <w:t xml:space="preserve"> de Barcelona, Diagonal 645, 08028 Barcelona, Spain</w:t>
      </w:r>
    </w:p>
    <w:p w14:paraId="320C0876" w14:textId="77777777" w:rsidR="000E1C12" w:rsidRPr="000E1C12" w:rsidRDefault="000E1C12" w:rsidP="000E1C12">
      <w:pPr>
        <w:pStyle w:val="Authors"/>
        <w:spacing w:after="0" w:line="240" w:lineRule="auto"/>
        <w:rPr>
          <w:i/>
          <w:iCs/>
          <w:sz w:val="20"/>
          <w:szCs w:val="20"/>
          <w:lang w:val="en-GB"/>
        </w:rPr>
      </w:pPr>
      <w:r w:rsidRPr="000E1C12">
        <w:rPr>
          <w:i/>
          <w:iCs/>
          <w:sz w:val="20"/>
          <w:szCs w:val="20"/>
          <w:vertAlign w:val="superscript"/>
          <w:lang w:val="en-GB"/>
        </w:rPr>
        <w:t>c</w:t>
      </w:r>
      <w:r w:rsidRPr="000E1C12">
        <w:rPr>
          <w:i/>
          <w:iCs/>
          <w:sz w:val="20"/>
          <w:szCs w:val="20"/>
          <w:lang w:val="en-GB"/>
        </w:rPr>
        <w:t xml:space="preserve"> </w:t>
      </w:r>
      <w:proofErr w:type="spellStart"/>
      <w:r w:rsidRPr="000E1C12">
        <w:rPr>
          <w:i/>
          <w:iCs/>
          <w:sz w:val="20"/>
          <w:szCs w:val="20"/>
          <w:lang w:val="en-GB"/>
        </w:rPr>
        <w:t>Institut</w:t>
      </w:r>
      <w:proofErr w:type="spellEnd"/>
      <w:r w:rsidRPr="000E1C12">
        <w:rPr>
          <w:i/>
          <w:iCs/>
          <w:sz w:val="20"/>
          <w:szCs w:val="20"/>
          <w:lang w:val="en-GB"/>
        </w:rPr>
        <w:t xml:space="preserve"> de Chimie de la Matière </w:t>
      </w:r>
      <w:proofErr w:type="spellStart"/>
      <w:r w:rsidRPr="000E1C12">
        <w:rPr>
          <w:i/>
          <w:iCs/>
          <w:sz w:val="20"/>
          <w:szCs w:val="20"/>
          <w:lang w:val="en-GB"/>
        </w:rPr>
        <w:t>Condensée</w:t>
      </w:r>
      <w:proofErr w:type="spellEnd"/>
      <w:r w:rsidRPr="000E1C12">
        <w:rPr>
          <w:i/>
          <w:iCs/>
          <w:sz w:val="20"/>
          <w:szCs w:val="20"/>
          <w:lang w:val="en-GB"/>
        </w:rPr>
        <w:t xml:space="preserve"> de Bordeaux, Université de </w:t>
      </w:r>
      <w:proofErr w:type="gramStart"/>
      <w:r w:rsidRPr="000E1C12">
        <w:rPr>
          <w:i/>
          <w:iCs/>
          <w:sz w:val="20"/>
          <w:szCs w:val="20"/>
          <w:lang w:val="en-GB"/>
        </w:rPr>
        <w:t>Bordeaux ,</w:t>
      </w:r>
      <w:proofErr w:type="gramEnd"/>
      <w:r w:rsidRPr="000E1C12">
        <w:rPr>
          <w:i/>
          <w:iCs/>
          <w:sz w:val="20"/>
          <w:szCs w:val="20"/>
          <w:lang w:val="en-GB"/>
        </w:rPr>
        <w:t xml:space="preserve"> 87 Av. Doc. A. Schweitzer, F-33608 Pessac, France</w:t>
      </w:r>
    </w:p>
    <w:p w14:paraId="12AD73A2" w14:textId="77777777" w:rsidR="000E1C12" w:rsidRPr="000E1C12" w:rsidRDefault="000E1C12" w:rsidP="000E1C12">
      <w:pPr>
        <w:pStyle w:val="Authors"/>
        <w:spacing w:after="0" w:line="240" w:lineRule="auto"/>
        <w:rPr>
          <w:i/>
          <w:iCs/>
          <w:sz w:val="20"/>
          <w:szCs w:val="20"/>
        </w:rPr>
      </w:pPr>
      <w:r w:rsidRPr="000E1C12">
        <w:rPr>
          <w:i/>
          <w:iCs/>
          <w:sz w:val="20"/>
          <w:szCs w:val="20"/>
          <w:vertAlign w:val="superscript"/>
          <w:lang w:val="en-GB"/>
        </w:rPr>
        <w:t>d</w:t>
      </w:r>
      <w:r w:rsidRPr="000E1C12">
        <w:rPr>
          <w:i/>
          <w:iCs/>
          <w:sz w:val="20"/>
          <w:szCs w:val="20"/>
          <w:lang w:val="en-GB"/>
        </w:rPr>
        <w:t xml:space="preserve"> </w:t>
      </w:r>
      <w:r w:rsidRPr="000E1C12">
        <w:rPr>
          <w:i/>
          <w:iCs/>
          <w:sz w:val="20"/>
          <w:szCs w:val="20"/>
          <w:lang w:val="de-DE"/>
        </w:rPr>
        <w:t>Univ Rennes, CNRS, IPR (Institut de Physique de Rennes) - UMR 6251, F-35000 Rennes, France</w:t>
      </w:r>
    </w:p>
    <w:p w14:paraId="5FDB60AC" w14:textId="6CF2543A" w:rsidR="00A26860" w:rsidRPr="00AC293F" w:rsidRDefault="00A26860" w:rsidP="00A26860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0"/>
          <w:szCs w:val="20"/>
        </w:rPr>
      </w:pPr>
      <w:r w:rsidRPr="00AC293F">
        <w:rPr>
          <w:rFonts w:ascii="Arial" w:hAnsi="Arial" w:cs="Arial"/>
          <w:sz w:val="20"/>
          <w:szCs w:val="20"/>
          <w:vertAlign w:val="superscript"/>
          <w:cs/>
        </w:rPr>
        <w:t>*</w:t>
      </w:r>
      <w:r w:rsidRPr="00AC293F">
        <w:rPr>
          <w:rFonts w:ascii="Arial" w:eastAsia="Times New Roman" w:hAnsi="Arial" w:cs="Arial"/>
          <w:i/>
          <w:sz w:val="20"/>
          <w:szCs w:val="20"/>
        </w:rPr>
        <w:t>E</w:t>
      </w:r>
      <w:r w:rsidRPr="00AC293F">
        <w:rPr>
          <w:rFonts w:ascii="Arial" w:hAnsi="Arial" w:cs="Arial"/>
          <w:i/>
          <w:iCs/>
          <w:sz w:val="20"/>
          <w:szCs w:val="20"/>
          <w:cs/>
        </w:rPr>
        <w:t>-</w:t>
      </w:r>
      <w:r w:rsidRPr="00AC293F">
        <w:rPr>
          <w:rFonts w:ascii="Arial" w:eastAsia="Times New Roman" w:hAnsi="Arial" w:cs="Arial"/>
          <w:i/>
          <w:sz w:val="20"/>
          <w:szCs w:val="20"/>
        </w:rPr>
        <w:t>mail</w:t>
      </w:r>
      <w:r w:rsidRPr="00AC293F">
        <w:rPr>
          <w:rFonts w:ascii="Arial" w:hAnsi="Arial" w:cs="Arial"/>
          <w:i/>
          <w:iCs/>
          <w:sz w:val="20"/>
          <w:szCs w:val="20"/>
          <w:cs/>
        </w:rPr>
        <w:t xml:space="preserve">: </w:t>
      </w:r>
      <w:r w:rsidR="00CF62DA">
        <w:rPr>
          <w:rFonts w:ascii="Arial" w:eastAsia="Times New Roman" w:hAnsi="Arial" w:cs="Arial"/>
          <w:i/>
          <w:sz w:val="20"/>
          <w:szCs w:val="20"/>
        </w:rPr>
        <w:t>david@g.sut.ac.th</w:t>
      </w:r>
    </w:p>
    <w:p w14:paraId="38AB08C6" w14:textId="77777777" w:rsidR="00B22FEB" w:rsidRPr="003D6546" w:rsidRDefault="00B22FEB" w:rsidP="00A26860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mallCaps/>
          <w:szCs w:val="22"/>
        </w:rPr>
      </w:pPr>
      <w:bookmarkStart w:id="0" w:name="_heading=h.gjdgxs" w:colFirst="0" w:colLast="0"/>
      <w:bookmarkEnd w:id="0"/>
    </w:p>
    <w:p w14:paraId="01148CDF" w14:textId="2A971478" w:rsidR="00A26860" w:rsidRPr="003E3F4B" w:rsidRDefault="001B040E" w:rsidP="00A26860">
      <w:pPr>
        <w:spacing w:after="0" w:line="240" w:lineRule="auto"/>
        <w:contextualSpacing/>
        <w:jc w:val="both"/>
        <w:rPr>
          <w:rFonts w:ascii="Arial" w:eastAsia="Times New Roman" w:hAnsi="Arial" w:cs="Arial"/>
          <w:szCs w:val="22"/>
        </w:rPr>
      </w:pPr>
      <w:r w:rsidRPr="001B040E">
        <w:rPr>
          <w:rFonts w:ascii="Arial" w:eastAsia="Times New Roman" w:hAnsi="Arial" w:cs="Arial"/>
          <w:color w:val="000000"/>
          <w:szCs w:val="22"/>
        </w:rPr>
        <w:t xml:space="preserve">Spin crossover (SCO) complexes can act as simple molecular magnetic switches and have the advantage of being switchable by multiple stimuli. A key aim in this area is to design molecules which switch reliably close to room temperature and with magnetic hysteresis. Our work has focused on </w:t>
      </w:r>
      <w:proofErr w:type="gramStart"/>
      <w:r w:rsidRPr="001B040E">
        <w:rPr>
          <w:rFonts w:ascii="Arial" w:eastAsia="Times New Roman" w:hAnsi="Arial" w:cs="Arial"/>
          <w:color w:val="000000"/>
          <w:szCs w:val="22"/>
        </w:rPr>
        <w:t>iron(</w:t>
      </w:r>
      <w:proofErr w:type="gramEnd"/>
      <w:r w:rsidRPr="001B040E">
        <w:rPr>
          <w:rFonts w:ascii="Arial" w:eastAsia="Times New Roman" w:hAnsi="Arial" w:cs="Arial"/>
          <w:color w:val="000000"/>
          <w:szCs w:val="22"/>
        </w:rPr>
        <w:t xml:space="preserve">III) SCO compounds as they are generally more robust. However, </w:t>
      </w:r>
      <w:proofErr w:type="spellStart"/>
      <w:r w:rsidRPr="001B040E">
        <w:rPr>
          <w:rFonts w:ascii="Arial" w:eastAsia="Times New Roman" w:hAnsi="Arial" w:cs="Arial"/>
          <w:color w:val="000000"/>
          <w:szCs w:val="22"/>
        </w:rPr>
        <w:t>photoswitchable</w:t>
      </w:r>
      <w:proofErr w:type="spellEnd"/>
      <w:r w:rsidRPr="001B040E">
        <w:rPr>
          <w:rFonts w:ascii="Arial" w:eastAsia="Times New Roman" w:hAnsi="Arial" w:cs="Arial"/>
          <w:color w:val="000000"/>
          <w:szCs w:val="22"/>
        </w:rPr>
        <w:t xml:space="preserve"> </w:t>
      </w:r>
      <w:proofErr w:type="gramStart"/>
      <w:r w:rsidRPr="001B040E">
        <w:rPr>
          <w:rFonts w:ascii="Arial" w:eastAsia="Times New Roman" w:hAnsi="Arial" w:cs="Arial"/>
          <w:color w:val="000000"/>
          <w:szCs w:val="22"/>
        </w:rPr>
        <w:t>iron(</w:t>
      </w:r>
      <w:proofErr w:type="gramEnd"/>
      <w:r w:rsidRPr="001B040E">
        <w:rPr>
          <w:rFonts w:ascii="Arial" w:eastAsia="Times New Roman" w:hAnsi="Arial" w:cs="Arial"/>
          <w:color w:val="000000"/>
          <w:szCs w:val="22"/>
        </w:rPr>
        <w:t xml:space="preserve">III) SCO compounds are much rarer than those of iron(II) due to the smaller change in iron-ligand bond lengths. In this talk we present several strategies in overcoming this disadvantage in </w:t>
      </w:r>
      <w:proofErr w:type="gramStart"/>
      <w:r w:rsidRPr="001B040E">
        <w:rPr>
          <w:rFonts w:ascii="Arial" w:eastAsia="Times New Roman" w:hAnsi="Arial" w:cs="Arial"/>
          <w:color w:val="000000"/>
          <w:szCs w:val="22"/>
        </w:rPr>
        <w:t>iron(</w:t>
      </w:r>
      <w:proofErr w:type="gramEnd"/>
      <w:r w:rsidRPr="001B040E">
        <w:rPr>
          <w:rFonts w:ascii="Arial" w:eastAsia="Times New Roman" w:hAnsi="Arial" w:cs="Arial"/>
          <w:color w:val="000000"/>
          <w:szCs w:val="22"/>
        </w:rPr>
        <w:t>III) SCO materials</w:t>
      </w:r>
      <w:r w:rsidR="00A26860" w:rsidRPr="003E3F4B">
        <w:rPr>
          <w:rFonts w:ascii="Arial" w:hAnsi="Arial" w:cs="Arial"/>
          <w:color w:val="000000"/>
          <w:szCs w:val="22"/>
        </w:rPr>
        <w:t>.</w:t>
      </w:r>
    </w:p>
    <w:p w14:paraId="78986972" w14:textId="2E8751E9" w:rsidR="00204AAB" w:rsidRDefault="00204AAB" w:rsidP="00A26860">
      <w:pPr>
        <w:spacing w:after="0" w:line="240" w:lineRule="auto"/>
        <w:contextualSpacing/>
        <w:jc w:val="both"/>
        <w:rPr>
          <w:rFonts w:ascii="Arial" w:eastAsia="Times New Roman" w:hAnsi="Arial" w:cs="Arial"/>
          <w:szCs w:val="22"/>
        </w:rPr>
      </w:pPr>
    </w:p>
    <w:p w14:paraId="420A198B" w14:textId="005C9444" w:rsidR="007D4C7B" w:rsidRDefault="00536002" w:rsidP="00F116CA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2"/>
        </w:rPr>
      </w:pPr>
      <w:r w:rsidRPr="006376BA">
        <w:rPr>
          <w:noProof/>
          <w:szCs w:val="22"/>
          <w:lang w:val="en-GB"/>
        </w:rPr>
        <w:drawing>
          <wp:inline distT="0" distB="0" distL="0" distR="0" wp14:anchorId="7AB09239" wp14:editId="62E68446">
            <wp:extent cx="4909707" cy="1551350"/>
            <wp:effectExtent l="0" t="0" r="5715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207" cy="155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59BB6" w14:textId="77777777" w:rsidR="001F6395" w:rsidRPr="001F6395" w:rsidRDefault="001F6395" w:rsidP="001F6395">
      <w:pPr>
        <w:spacing w:after="120"/>
        <w:jc w:val="center"/>
        <w:rPr>
          <w:rFonts w:ascii="Arial" w:hAnsi="Arial" w:cs="Arial"/>
          <w:szCs w:val="22"/>
          <w:lang w:val="en-GB"/>
        </w:rPr>
      </w:pPr>
      <w:r w:rsidRPr="001F6395">
        <w:rPr>
          <w:rFonts w:ascii="Arial" w:hAnsi="Arial" w:cs="Arial"/>
          <w:i/>
          <w:iCs/>
          <w:szCs w:val="22"/>
          <w:lang w:val="en-GB"/>
        </w:rPr>
        <w:t>Figure 1.</w:t>
      </w:r>
      <w:r w:rsidRPr="001F6395">
        <w:rPr>
          <w:rFonts w:ascii="Arial" w:hAnsi="Arial" w:cs="Arial"/>
          <w:szCs w:val="22"/>
          <w:lang w:val="en-GB"/>
        </w:rPr>
        <w:t xml:space="preserve"> </w:t>
      </w:r>
      <w:r w:rsidRPr="001F6395">
        <w:rPr>
          <w:rFonts w:ascii="Arial" w:hAnsi="Arial" w:cs="Arial"/>
          <w:i/>
          <w:iCs/>
          <w:szCs w:val="22"/>
          <w:lang w:val="en-GB"/>
        </w:rPr>
        <w:t xml:space="preserve">Overview of molecular switching in </w:t>
      </w:r>
      <w:proofErr w:type="gramStart"/>
      <w:r w:rsidRPr="001F6395">
        <w:rPr>
          <w:rFonts w:ascii="Arial" w:hAnsi="Arial" w:cs="Arial"/>
          <w:i/>
          <w:iCs/>
          <w:szCs w:val="22"/>
          <w:lang w:val="en-GB"/>
        </w:rPr>
        <w:t>iron(</w:t>
      </w:r>
      <w:proofErr w:type="gramEnd"/>
      <w:r w:rsidRPr="001F6395">
        <w:rPr>
          <w:rFonts w:ascii="Arial" w:hAnsi="Arial" w:cs="Arial"/>
          <w:i/>
          <w:iCs/>
          <w:szCs w:val="22"/>
          <w:lang w:val="en-GB"/>
        </w:rPr>
        <w:t>III) SCO materials</w:t>
      </w:r>
      <w:r w:rsidRPr="001F6395">
        <w:rPr>
          <w:rFonts w:ascii="Arial" w:hAnsi="Arial" w:cs="Arial"/>
          <w:szCs w:val="22"/>
          <w:lang w:val="en-GB"/>
        </w:rPr>
        <w:t>.</w:t>
      </w:r>
    </w:p>
    <w:p w14:paraId="1FD37C98" w14:textId="77777777" w:rsidR="001F6395" w:rsidRPr="00CC72B7" w:rsidRDefault="001F6395" w:rsidP="001F6395">
      <w:pPr>
        <w:spacing w:after="120"/>
        <w:rPr>
          <w:rFonts w:ascii="Arial" w:hAnsi="Arial" w:cs="Arial"/>
          <w:szCs w:val="22"/>
          <w:lang w:val="en-GB"/>
        </w:rPr>
      </w:pPr>
    </w:p>
    <w:p w14:paraId="1E169768" w14:textId="69D094AA" w:rsidR="00CC72B7" w:rsidRPr="009B6B31" w:rsidRDefault="00CC72B7" w:rsidP="001F6395">
      <w:pPr>
        <w:spacing w:after="120"/>
        <w:rPr>
          <w:rFonts w:ascii="Arial" w:hAnsi="Arial" w:cs="Arial"/>
          <w:szCs w:val="22"/>
          <w:lang w:val="en-GB"/>
        </w:rPr>
      </w:pPr>
      <w:r w:rsidRPr="00CC72B7">
        <w:rPr>
          <w:rFonts w:ascii="Arial" w:hAnsi="Arial" w:cs="Arial"/>
          <w:b/>
          <w:bCs/>
          <w:szCs w:val="22"/>
          <w:lang w:val="en-GB"/>
        </w:rPr>
        <w:t>Keywords</w:t>
      </w:r>
      <w:r w:rsidR="00827587">
        <w:rPr>
          <w:rFonts w:ascii="Arial" w:hAnsi="Arial" w:cs="Arial"/>
          <w:b/>
          <w:bCs/>
          <w:szCs w:val="22"/>
          <w:lang w:val="en-GB"/>
        </w:rPr>
        <w:t>:</w:t>
      </w:r>
      <w:r w:rsidR="009B6B31">
        <w:rPr>
          <w:rFonts w:ascii="Arial" w:hAnsi="Arial" w:cs="Arial"/>
          <w:szCs w:val="22"/>
          <w:lang w:val="en-GB"/>
        </w:rPr>
        <w:t xml:space="preserve"> </w:t>
      </w:r>
      <w:r w:rsidR="00314CBC">
        <w:rPr>
          <w:rFonts w:ascii="Arial" w:hAnsi="Arial" w:cs="Arial"/>
          <w:szCs w:val="22"/>
          <w:lang w:val="en-GB"/>
        </w:rPr>
        <w:t>spin crossover</w:t>
      </w:r>
      <w:r w:rsidR="004B5353">
        <w:rPr>
          <w:rFonts w:ascii="Arial" w:hAnsi="Arial" w:cs="Arial"/>
          <w:szCs w:val="22"/>
          <w:lang w:val="en-GB"/>
        </w:rPr>
        <w:t xml:space="preserve">; </w:t>
      </w:r>
      <w:proofErr w:type="spellStart"/>
      <w:r w:rsidR="004B5353">
        <w:rPr>
          <w:rFonts w:ascii="Arial" w:hAnsi="Arial" w:cs="Arial"/>
          <w:szCs w:val="22"/>
          <w:lang w:val="en-GB"/>
        </w:rPr>
        <w:t>photoswitchable</w:t>
      </w:r>
      <w:proofErr w:type="spellEnd"/>
      <w:r w:rsidR="004B5353">
        <w:rPr>
          <w:rFonts w:ascii="Arial" w:hAnsi="Arial" w:cs="Arial"/>
          <w:szCs w:val="22"/>
          <w:lang w:val="en-GB"/>
        </w:rPr>
        <w:t xml:space="preserve">; </w:t>
      </w:r>
      <w:proofErr w:type="gramStart"/>
      <w:r w:rsidR="004B5353">
        <w:rPr>
          <w:rFonts w:ascii="Arial" w:hAnsi="Arial" w:cs="Arial"/>
          <w:szCs w:val="22"/>
          <w:lang w:val="en-GB"/>
        </w:rPr>
        <w:t>iron(</w:t>
      </w:r>
      <w:proofErr w:type="gramEnd"/>
      <w:r w:rsidR="004B5353">
        <w:rPr>
          <w:rFonts w:ascii="Arial" w:hAnsi="Arial" w:cs="Arial"/>
          <w:szCs w:val="22"/>
          <w:lang w:val="en-GB"/>
        </w:rPr>
        <w:t>III)</w:t>
      </w:r>
      <w:r w:rsidR="00FD54C9">
        <w:rPr>
          <w:rFonts w:ascii="Arial" w:hAnsi="Arial" w:cs="Arial"/>
          <w:szCs w:val="22"/>
          <w:lang w:val="en-GB"/>
        </w:rPr>
        <w:t>; magnetic hysteresis</w:t>
      </w:r>
    </w:p>
    <w:p w14:paraId="4A483EB3" w14:textId="77777777" w:rsidR="00CC72B7" w:rsidRPr="00CC72B7" w:rsidRDefault="00CC72B7" w:rsidP="001F6395">
      <w:pPr>
        <w:spacing w:after="120"/>
        <w:rPr>
          <w:rFonts w:ascii="Arial" w:hAnsi="Arial" w:cs="Arial"/>
          <w:szCs w:val="22"/>
          <w:lang w:val="en-GB"/>
        </w:rPr>
      </w:pPr>
    </w:p>
    <w:p w14:paraId="0F5FA724" w14:textId="77777777" w:rsidR="001F6395" w:rsidRPr="001F6395" w:rsidRDefault="001F6395" w:rsidP="001F6395">
      <w:pPr>
        <w:spacing w:after="0"/>
        <w:rPr>
          <w:rFonts w:ascii="Arial" w:hAnsi="Arial" w:cs="Arial"/>
          <w:b/>
          <w:bCs/>
          <w:szCs w:val="22"/>
          <w:lang w:val="en-GB"/>
        </w:rPr>
      </w:pPr>
      <w:r w:rsidRPr="001F6395">
        <w:rPr>
          <w:rFonts w:ascii="Arial" w:hAnsi="Arial" w:cs="Arial"/>
          <w:b/>
          <w:bCs/>
          <w:szCs w:val="22"/>
          <w:lang w:val="en-GB"/>
        </w:rPr>
        <w:t>References</w:t>
      </w:r>
    </w:p>
    <w:p w14:paraId="639BD456" w14:textId="77777777" w:rsidR="001F6395" w:rsidRPr="001F6395" w:rsidRDefault="001F6395" w:rsidP="001F6395">
      <w:pPr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szCs w:val="22"/>
          <w:lang w:val="en-GB"/>
        </w:rPr>
      </w:pPr>
      <w:r w:rsidRPr="001F6395">
        <w:rPr>
          <w:rFonts w:ascii="Arial" w:hAnsi="Arial" w:cs="Arial"/>
          <w:szCs w:val="22"/>
        </w:rPr>
        <w:t xml:space="preserve">P. </w:t>
      </w:r>
      <w:proofErr w:type="spellStart"/>
      <w:r w:rsidRPr="001F6395">
        <w:rPr>
          <w:rFonts w:ascii="Arial" w:hAnsi="Arial" w:cs="Arial"/>
          <w:szCs w:val="22"/>
        </w:rPr>
        <w:t>Gütlich</w:t>
      </w:r>
      <w:proofErr w:type="spellEnd"/>
      <w:r w:rsidRPr="001F6395">
        <w:rPr>
          <w:rFonts w:ascii="Arial" w:hAnsi="Arial" w:cs="Arial"/>
          <w:szCs w:val="22"/>
        </w:rPr>
        <w:t xml:space="preserve">, and H. A. Goodwin, </w:t>
      </w:r>
      <w:r w:rsidRPr="001F6395">
        <w:rPr>
          <w:rFonts w:ascii="Arial" w:hAnsi="Arial" w:cs="Arial"/>
          <w:i/>
          <w:iCs/>
          <w:szCs w:val="22"/>
        </w:rPr>
        <w:t>Top. Curr. Chem</w:t>
      </w:r>
      <w:r w:rsidRPr="001F6395">
        <w:rPr>
          <w:rFonts w:ascii="Arial" w:hAnsi="Arial" w:cs="Arial"/>
          <w:szCs w:val="22"/>
        </w:rPr>
        <w:t xml:space="preserve">., 2004, </w:t>
      </w:r>
      <w:r w:rsidRPr="001F6395">
        <w:rPr>
          <w:rFonts w:ascii="Arial" w:hAnsi="Arial" w:cs="Arial"/>
          <w:b/>
          <w:bCs/>
          <w:szCs w:val="22"/>
        </w:rPr>
        <w:t>233</w:t>
      </w:r>
      <w:r w:rsidRPr="001F6395">
        <w:rPr>
          <w:rFonts w:ascii="Arial" w:hAnsi="Arial" w:cs="Arial"/>
          <w:szCs w:val="22"/>
        </w:rPr>
        <w:t>, 1−47.</w:t>
      </w:r>
    </w:p>
    <w:p w14:paraId="6C2DD349" w14:textId="77777777" w:rsidR="001F6395" w:rsidRPr="001F6395" w:rsidRDefault="001F6395" w:rsidP="001F6395">
      <w:pPr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szCs w:val="22"/>
          <w:lang w:val="en-GB"/>
        </w:rPr>
      </w:pPr>
      <w:r w:rsidRPr="001F6395">
        <w:rPr>
          <w:rFonts w:ascii="Arial" w:hAnsi="Arial" w:cs="Arial"/>
          <w:szCs w:val="22"/>
        </w:rPr>
        <w:t xml:space="preserve">K. Senthil Kumar and M. Ruben, </w:t>
      </w:r>
      <w:r w:rsidRPr="001F6395">
        <w:rPr>
          <w:rFonts w:ascii="Arial" w:hAnsi="Arial" w:cs="Arial"/>
          <w:i/>
          <w:iCs/>
          <w:szCs w:val="22"/>
        </w:rPr>
        <w:t>Coord. Chem. Rev</w:t>
      </w:r>
      <w:r w:rsidRPr="001F6395">
        <w:rPr>
          <w:rFonts w:ascii="Arial" w:hAnsi="Arial" w:cs="Arial"/>
          <w:szCs w:val="22"/>
        </w:rPr>
        <w:t xml:space="preserve">., 2017, </w:t>
      </w:r>
      <w:r w:rsidRPr="001F6395">
        <w:rPr>
          <w:rFonts w:ascii="Arial" w:hAnsi="Arial" w:cs="Arial"/>
          <w:b/>
          <w:bCs/>
          <w:szCs w:val="22"/>
        </w:rPr>
        <w:t>346</w:t>
      </w:r>
      <w:r w:rsidRPr="001F6395">
        <w:rPr>
          <w:rFonts w:ascii="Arial" w:hAnsi="Arial" w:cs="Arial"/>
          <w:szCs w:val="22"/>
        </w:rPr>
        <w:t>, 176−205.</w:t>
      </w:r>
    </w:p>
    <w:p w14:paraId="7353F9E6" w14:textId="5F234B3C" w:rsidR="00204AAB" w:rsidRPr="001F6395" w:rsidRDefault="00204AAB" w:rsidP="00A26860">
      <w:pPr>
        <w:tabs>
          <w:tab w:val="left" w:pos="8152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Cs w:val="22"/>
        </w:rPr>
      </w:pPr>
    </w:p>
    <w:sectPr w:rsidR="00204AAB" w:rsidRPr="001F6395" w:rsidSect="00A26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5E8E9" w14:textId="77777777" w:rsidR="00356727" w:rsidRDefault="00356727" w:rsidP="00356727">
      <w:pPr>
        <w:spacing w:after="0" w:line="240" w:lineRule="auto"/>
      </w:pPr>
      <w:r>
        <w:separator/>
      </w:r>
    </w:p>
  </w:endnote>
  <w:endnote w:type="continuationSeparator" w:id="0">
    <w:p w14:paraId="3663CA06" w14:textId="77777777" w:rsidR="00356727" w:rsidRDefault="00356727" w:rsidP="0035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1978" w14:textId="77777777" w:rsidR="00BC61F5" w:rsidRDefault="00BC6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B6A8" w14:textId="540AC08F" w:rsidR="00FB6386" w:rsidRDefault="00BC61F5">
    <w:pPr>
      <w:pStyle w:val="Footer"/>
    </w:pPr>
    <w:r w:rsidRPr="00BC61F5">
      <w:drawing>
        <wp:inline distT="0" distB="0" distL="0" distR="0" wp14:anchorId="66E9F484" wp14:editId="579C1DFE">
          <wp:extent cx="5731510" cy="508000"/>
          <wp:effectExtent l="0" t="0" r="2540" b="6350"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4D4D8CDF-D1BD-E1AD-C381-885694A412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4D4D8CDF-D1BD-E1AD-C381-885694A412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8630" w14:textId="77777777" w:rsidR="00BC61F5" w:rsidRDefault="00BC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48A5E" w14:textId="77777777" w:rsidR="00356727" w:rsidRDefault="00356727" w:rsidP="00356727">
      <w:pPr>
        <w:spacing w:after="0" w:line="240" w:lineRule="auto"/>
      </w:pPr>
      <w:r>
        <w:separator/>
      </w:r>
    </w:p>
  </w:footnote>
  <w:footnote w:type="continuationSeparator" w:id="0">
    <w:p w14:paraId="306477B8" w14:textId="77777777" w:rsidR="00356727" w:rsidRDefault="00356727" w:rsidP="0035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7FC4" w14:textId="77777777" w:rsidR="00BC61F5" w:rsidRDefault="00BC6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EAB0" w14:textId="53C03936" w:rsidR="00BD614D" w:rsidRDefault="001C5231">
    <w:pPr>
      <w:pStyle w:val="Header"/>
    </w:pPr>
    <w:r w:rsidRPr="001C5231">
      <w:rPr>
        <w:noProof/>
      </w:rPr>
      <w:drawing>
        <wp:inline distT="0" distB="0" distL="0" distR="0" wp14:anchorId="498365AB" wp14:editId="6051658F">
          <wp:extent cx="5731510" cy="658495"/>
          <wp:effectExtent l="0" t="0" r="2540" b="8255"/>
          <wp:docPr id="665148181" name="Picture 1">
            <a:extLst xmlns:a="http://schemas.openxmlformats.org/drawingml/2006/main">
              <a:ext uri="{FF2B5EF4-FFF2-40B4-BE49-F238E27FC236}">
                <a16:creationId xmlns:a16="http://schemas.microsoft.com/office/drawing/2014/main" id="{9703C9C3-308A-38D5-4772-FA78257958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9703C9C3-308A-38D5-4772-FA78257958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4B76" w14:textId="77777777" w:rsidR="00BC61F5" w:rsidRDefault="00BC6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5844"/>
    <w:multiLevelType w:val="hybridMultilevel"/>
    <w:tmpl w:val="C298B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803D47"/>
    <w:multiLevelType w:val="hybridMultilevel"/>
    <w:tmpl w:val="53101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672182">
    <w:abstractNumId w:val="1"/>
  </w:num>
  <w:num w:numId="2" w16cid:durableId="147629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60"/>
    <w:rsid w:val="000E1C12"/>
    <w:rsid w:val="00177EA4"/>
    <w:rsid w:val="001806D6"/>
    <w:rsid w:val="00194D57"/>
    <w:rsid w:val="001B040E"/>
    <w:rsid w:val="001C5231"/>
    <w:rsid w:val="001F6395"/>
    <w:rsid w:val="00204AAB"/>
    <w:rsid w:val="00314CBC"/>
    <w:rsid w:val="00356727"/>
    <w:rsid w:val="00361A42"/>
    <w:rsid w:val="003B63D9"/>
    <w:rsid w:val="003D6546"/>
    <w:rsid w:val="003E3F4B"/>
    <w:rsid w:val="003F5E1E"/>
    <w:rsid w:val="004B5353"/>
    <w:rsid w:val="00536002"/>
    <w:rsid w:val="00581ADA"/>
    <w:rsid w:val="005A08AD"/>
    <w:rsid w:val="00611FE2"/>
    <w:rsid w:val="00655392"/>
    <w:rsid w:val="00672E6A"/>
    <w:rsid w:val="007D4C7B"/>
    <w:rsid w:val="00827587"/>
    <w:rsid w:val="00893ECE"/>
    <w:rsid w:val="008F3144"/>
    <w:rsid w:val="00905263"/>
    <w:rsid w:val="009B6B31"/>
    <w:rsid w:val="009D4E84"/>
    <w:rsid w:val="009E7660"/>
    <w:rsid w:val="00A26860"/>
    <w:rsid w:val="00AC293F"/>
    <w:rsid w:val="00B11200"/>
    <w:rsid w:val="00B22FEB"/>
    <w:rsid w:val="00BC61F5"/>
    <w:rsid w:val="00BD42E8"/>
    <w:rsid w:val="00BD614D"/>
    <w:rsid w:val="00CC72B7"/>
    <w:rsid w:val="00CF62DA"/>
    <w:rsid w:val="00D80E99"/>
    <w:rsid w:val="00DC6420"/>
    <w:rsid w:val="00E14AEC"/>
    <w:rsid w:val="00E86F23"/>
    <w:rsid w:val="00E96C81"/>
    <w:rsid w:val="00EE1274"/>
    <w:rsid w:val="00F116CA"/>
    <w:rsid w:val="00F37292"/>
    <w:rsid w:val="00F82C4D"/>
    <w:rsid w:val="00FB6386"/>
    <w:rsid w:val="00F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39E5ED"/>
  <w15:chartTrackingRefBased/>
  <w15:docId w15:val="{46F87BB0-E1B0-425A-BC84-8BE3B9A5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8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727"/>
  </w:style>
  <w:style w:type="paragraph" w:styleId="Footer">
    <w:name w:val="footer"/>
    <w:basedOn w:val="Normal"/>
    <w:link w:val="FooterChar"/>
    <w:uiPriority w:val="99"/>
    <w:unhideWhenUsed/>
    <w:rsid w:val="00356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727"/>
  </w:style>
  <w:style w:type="paragraph" w:customStyle="1" w:styleId="Authors">
    <w:name w:val="Authors"/>
    <w:basedOn w:val="Normal"/>
    <w:qFormat/>
    <w:rsid w:val="000E1C12"/>
    <w:pPr>
      <w:spacing w:after="120" w:line="264" w:lineRule="auto"/>
      <w:jc w:val="center"/>
    </w:pPr>
    <w:rPr>
      <w:rFonts w:ascii="Arial" w:eastAsiaTheme="minorEastAsia" w:hAnsi="Arial" w:cs="Arial"/>
      <w:kern w:val="0"/>
      <w:szCs w:val="24"/>
      <w:lang w:val="en-AU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1333</Characters>
  <Application>Microsoft Office Word</Application>
  <DocSecurity>0</DocSecurity>
  <Lines>66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beer.mindmap@gmail.com</dc:creator>
  <cp:keywords/>
  <dc:description/>
  <cp:lastModifiedBy>Phimphaka Harding</cp:lastModifiedBy>
  <cp:revision>20</cp:revision>
  <dcterms:created xsi:type="dcterms:W3CDTF">2024-10-28T09:07:00Z</dcterms:created>
  <dcterms:modified xsi:type="dcterms:W3CDTF">2024-10-28T13:00:00Z</dcterms:modified>
</cp:coreProperties>
</file>